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4B" w:rsidRPr="007C647B" w:rsidRDefault="00C2094B" w:rsidP="00C209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C2094B" w:rsidRPr="007C647B" w:rsidRDefault="00C2094B" w:rsidP="00C209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C2094B" w:rsidRPr="007C647B" w:rsidRDefault="00C2094B" w:rsidP="00C2094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C2094B" w:rsidRPr="007C647B" w:rsidRDefault="00C2094B" w:rsidP="00C2094B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C2094B" w:rsidRPr="007C647B" w:rsidRDefault="00C2094B" w:rsidP="00C2094B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2094B" w:rsidRPr="007C647B" w:rsidRDefault="00C2094B" w:rsidP="00C2094B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11.12.2024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22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C2094B" w:rsidRPr="007C647B" w:rsidRDefault="00C2094B" w:rsidP="00C2094B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C2094B" w:rsidRPr="007C647B" w:rsidRDefault="00C2094B" w:rsidP="00C2094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C2094B" w:rsidRDefault="00C2094B" w:rsidP="00C2094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widowControl/>
        <w:spacing w:after="200" w:line="276" w:lineRule="auto"/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Об утверждении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Верблюженского сельского поселения Саргатско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 муниципального района на 2025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год.</w:t>
      </w:r>
    </w:p>
    <w:p w:rsidR="00C2094B" w:rsidRPr="00773C54" w:rsidRDefault="00C2094B" w:rsidP="00C2094B">
      <w:pPr>
        <w:widowControl/>
        <w:spacing w:after="200" w:line="276" w:lineRule="auto"/>
        <w:ind w:right="-2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Верблюженского сельского  поселения Саргатского муниципального района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Омской области, Администрация Верблюженского сельского  поселения Саргатского муниципального района Омской области:</w:t>
      </w:r>
    </w:p>
    <w:p w:rsidR="00C2094B" w:rsidRPr="00773C54" w:rsidRDefault="00C2094B" w:rsidP="00C2094B">
      <w:pPr>
        <w:widowControl/>
        <w:spacing w:line="276" w:lineRule="auto"/>
        <w:ind w:right="-2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1. Утвердить Программа 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 Верблюженского сельского поселения Саргатско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 муниципального района на 2024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согласно приложению к настоящему постановлению.</w:t>
      </w:r>
    </w:p>
    <w:p w:rsidR="00C2094B" w:rsidRPr="00773C54" w:rsidRDefault="00C2094B" w:rsidP="00C2094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Настоящее распоряжение разместить в информационно-телекоммуникационной сети «Интернет» на сайте </w:t>
      </w:r>
      <w:hyperlink r:id="rId5" w:history="1">
        <w:r w:rsidRPr="00773C5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http://vrbluj.sargat.omskportal.ru</w:t>
        </w:r>
      </w:hyperlink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2094B" w:rsidRPr="00773C54" w:rsidRDefault="00C2094B" w:rsidP="00C2094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Настоящее постановление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вступает в силу с 01 января 2025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года.</w:t>
      </w:r>
    </w:p>
    <w:p w:rsidR="00C2094B" w:rsidRPr="00773C54" w:rsidRDefault="00C2094B" w:rsidP="00C2094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>. Главы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Верблюженского </w:t>
      </w: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Е.Н. Болховская </w:t>
      </w: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widowControl/>
        <w:ind w:left="5580"/>
        <w:jc w:val="right"/>
        <w:rPr>
          <w:rFonts w:ascii="Times New Roman" w:eastAsia="Calibri" w:hAnsi="Times New Roman" w:cs="Times New Roman"/>
          <w:color w:val="auto"/>
        </w:rPr>
      </w:pPr>
      <w:r w:rsidRPr="00773C54">
        <w:rPr>
          <w:rFonts w:ascii="Times New Roman" w:eastAsia="Calibri" w:hAnsi="Times New Roman" w:cs="Times New Roman"/>
          <w:color w:val="auto"/>
        </w:rPr>
        <w:lastRenderedPageBreak/>
        <w:t>Приложение</w:t>
      </w:r>
    </w:p>
    <w:p w:rsidR="00C2094B" w:rsidRPr="00773C54" w:rsidRDefault="00C2094B" w:rsidP="00C2094B">
      <w:pPr>
        <w:widowControl/>
        <w:ind w:left="5580"/>
        <w:jc w:val="right"/>
        <w:rPr>
          <w:rFonts w:ascii="Times New Roman" w:eastAsia="Calibri" w:hAnsi="Times New Roman" w:cs="Times New Roman"/>
          <w:color w:val="auto"/>
        </w:rPr>
      </w:pPr>
      <w:r w:rsidRPr="00773C54">
        <w:rPr>
          <w:rFonts w:ascii="Times New Roman" w:eastAsia="Calibri" w:hAnsi="Times New Roman" w:cs="Times New Roman"/>
          <w:color w:val="auto"/>
        </w:rPr>
        <w:t>к распоряжению Админис</w:t>
      </w:r>
      <w:r>
        <w:rPr>
          <w:rFonts w:ascii="Times New Roman" w:eastAsia="Calibri" w:hAnsi="Times New Roman" w:cs="Times New Roman"/>
          <w:color w:val="auto"/>
        </w:rPr>
        <w:t xml:space="preserve">трации Верблюженского сельского </w:t>
      </w:r>
      <w:r w:rsidRPr="00773C54">
        <w:rPr>
          <w:rFonts w:ascii="Times New Roman" w:eastAsia="Calibri" w:hAnsi="Times New Roman" w:cs="Times New Roman"/>
          <w:color w:val="auto"/>
        </w:rPr>
        <w:t>поселения Саргатского му</w:t>
      </w:r>
      <w:r>
        <w:rPr>
          <w:rFonts w:ascii="Times New Roman" w:eastAsia="Calibri" w:hAnsi="Times New Roman" w:cs="Times New Roman"/>
          <w:color w:val="auto"/>
        </w:rPr>
        <w:t xml:space="preserve">ниципального района         Омской </w:t>
      </w:r>
      <w:r w:rsidRPr="00773C54">
        <w:rPr>
          <w:rFonts w:ascii="Times New Roman" w:eastAsia="Calibri" w:hAnsi="Times New Roman" w:cs="Times New Roman"/>
          <w:color w:val="auto"/>
        </w:rPr>
        <w:t>области</w:t>
      </w:r>
    </w:p>
    <w:p w:rsidR="00C2094B" w:rsidRPr="00773C54" w:rsidRDefault="00C2094B" w:rsidP="00C2094B">
      <w:pPr>
        <w:widowControl/>
        <w:ind w:left="5580"/>
        <w:jc w:val="both"/>
        <w:rPr>
          <w:rFonts w:ascii="Times New Roman" w:eastAsia="Calibri" w:hAnsi="Times New Roman" w:cs="Times New Roman"/>
        </w:rPr>
      </w:pPr>
      <w:r w:rsidRPr="00773C54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      </w:t>
      </w:r>
      <w:r w:rsidRPr="00773C54">
        <w:rPr>
          <w:rFonts w:ascii="Times New Roman" w:eastAsia="Calibri" w:hAnsi="Times New Roman" w:cs="Times New Roman"/>
        </w:rPr>
        <w:t xml:space="preserve">     от </w:t>
      </w:r>
      <w:r>
        <w:rPr>
          <w:rFonts w:ascii="Times New Roman" w:eastAsia="Calibri" w:hAnsi="Times New Roman" w:cs="Times New Roman"/>
        </w:rPr>
        <w:t>11.12.2024</w:t>
      </w:r>
      <w:r w:rsidRPr="00773C54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22</w:t>
      </w:r>
      <w:r w:rsidRPr="00773C54">
        <w:rPr>
          <w:rFonts w:ascii="Times New Roman" w:eastAsia="Calibri" w:hAnsi="Times New Roman" w:cs="Times New Roman"/>
        </w:rPr>
        <w:t>-рос</w:t>
      </w:r>
    </w:p>
    <w:p w:rsidR="00C2094B" w:rsidRPr="00773C54" w:rsidRDefault="00C2094B" w:rsidP="00C2094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Arial"/>
          <w:b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Программа </w:t>
      </w:r>
      <w:r w:rsidRPr="00773C54">
        <w:rPr>
          <w:rFonts w:ascii="Times New Roman" w:hAnsi="Times New Roman" w:cs="Arial"/>
          <w:b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Верблюженского сельского поселения Саргатского муниципально</w:t>
      </w:r>
      <w:r>
        <w:rPr>
          <w:rFonts w:ascii="Times New Roman" w:hAnsi="Times New Roman" w:cs="Arial"/>
          <w:b/>
          <w:color w:val="auto"/>
          <w:sz w:val="28"/>
          <w:szCs w:val="28"/>
        </w:rPr>
        <w:t>го района Омской области на 2025</w:t>
      </w:r>
      <w:r w:rsidRPr="00773C54">
        <w:rPr>
          <w:rFonts w:ascii="Times New Roman" w:hAnsi="Times New Roman" w:cs="Arial"/>
          <w:b/>
          <w:color w:val="auto"/>
          <w:sz w:val="28"/>
          <w:szCs w:val="28"/>
        </w:rPr>
        <w:t xml:space="preserve"> год</w:t>
      </w: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1. Анализ текущего состояния осуществления муниципального  контроля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в сфере благоустройства</w:t>
      </w: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Pr="00773C54">
        <w:rPr>
          <w:rFonts w:ascii="Times New Roman" w:hAnsi="Times New Roman" w:cs="Arial"/>
          <w:color w:val="auto"/>
          <w:sz w:val="28"/>
          <w:szCs w:val="28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>
        <w:rPr>
          <w:rFonts w:ascii="Times New Roman" w:hAnsi="Times New Roman" w:cs="Arial"/>
          <w:color w:val="auto"/>
          <w:sz w:val="28"/>
          <w:szCs w:val="28"/>
        </w:rPr>
        <w:t xml:space="preserve"> в сфере благоустройства на 2025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год (далее – программа профилактики) разработана в 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hyperlink r:id="rId6" w:history="1">
        <w:r w:rsidRPr="00773C54">
          <w:rPr>
            <w:rFonts w:ascii="Times New Roman" w:hAnsi="Times New Roman" w:cs="Times New Roman"/>
            <w:color w:val="auto"/>
            <w:sz w:val="28"/>
            <w:szCs w:val="28"/>
          </w:rPr>
          <w:t>частью 4 статьи 44</w:t>
        </w:r>
      </w:hyperlink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773C54">
        <w:rPr>
          <w:rFonts w:ascii="Times New Roman" w:hAnsi="Times New Roman" w:cs="Times New Roman"/>
          <w:color w:val="auto"/>
          <w:sz w:val="28"/>
          <w:szCs w:val="28"/>
        </w:rPr>
        <w:t>) органами программы профилактики рисков причинения вреда (ущерба) охраняемым законом ценностям».</w:t>
      </w: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>Профилактика рисков причинения вреда (ущерба) охраняемым законом ценностям   реализуется  при осуществлении муниципального контроля в сфере благоустройства.</w:t>
      </w: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муниципального  контроля в  сфере благоустройства является соблюдение правил благоустройства территории Верблюженского сельского поселения Саргатского муниципального района Омской области, утвержденных решением Совета Верблюженского сельского поселения Саргатского муниципального района Омской области от 27.11.2017 № 36 «Об утверждении новой редакции правил санитарного содержания и благоустройства Верблюженского сельского поселения. </w:t>
      </w: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hAnsi="Times New Roman" w:cs="Times New Roman"/>
          <w:color w:val="auto"/>
          <w:sz w:val="28"/>
          <w:szCs w:val="28"/>
        </w:rPr>
        <w:t>Органом, уполномоченным на осуществление муниципального контроля в сфере благоустройства   является</w:t>
      </w:r>
      <w:proofErr w:type="gramEnd"/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Верблюженского сельского поселения Саргатского муниципального района Омской области (далее – Администрация).</w:t>
      </w: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Перечень нормативных актов, соблюдение требований по которым </w:t>
      </w:r>
      <w:proofErr w:type="gramStart"/>
      <w:r w:rsidRPr="00773C54">
        <w:rPr>
          <w:rFonts w:ascii="Times New Roman" w:hAnsi="Times New Roman" w:cs="Arial"/>
          <w:color w:val="auto"/>
          <w:sz w:val="28"/>
          <w:szCs w:val="28"/>
        </w:rPr>
        <w:t>проверяется при осуществлении муниципального контроля в сфере благоустройства размещен</w:t>
      </w:r>
      <w:proofErr w:type="gramEnd"/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на официальном сайте Администрации 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сельского поселения Саргатского муниципального района Омской области в сети «Интернет» по адресу: </w:t>
      </w:r>
      <w:hyperlink r:id="rId7" w:history="1">
        <w:r w:rsidRPr="00773C5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http://vrbluj.sargat.omskportal.ru</w:t>
        </w:r>
      </w:hyperlink>
      <w:r w:rsidRPr="00773C54">
        <w:rPr>
          <w:rFonts w:ascii="Times New Roman" w:hAnsi="Times New Roman" w:cs="Arial"/>
          <w:color w:val="auto"/>
          <w:sz w:val="28"/>
          <w:szCs w:val="28"/>
        </w:rPr>
        <w:t>, в разделе «Муниципальный контроль».</w:t>
      </w:r>
    </w:p>
    <w:p w:rsidR="00C2094B" w:rsidRPr="00773C54" w:rsidRDefault="00C2094B" w:rsidP="00C209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году проверочные мероприятия в рамках муниципального 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контроля в сфере благоустройства не проводились.</w:t>
      </w: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94B" w:rsidRPr="00773C54" w:rsidRDefault="00C2094B" w:rsidP="00C2094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>2. Цели и задачи реализации программы профилактики</w:t>
      </w:r>
    </w:p>
    <w:p w:rsidR="00C2094B" w:rsidRPr="00773C54" w:rsidRDefault="00C2094B" w:rsidP="00C2094B">
      <w:pPr>
        <w:widowControl/>
        <w:tabs>
          <w:tab w:val="left" w:pos="1134"/>
        </w:tabs>
        <w:contextualSpacing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tabs>
          <w:tab w:val="left" w:pos="709"/>
        </w:tabs>
        <w:contextualSpacing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>Цели реализации программы профилактики: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094B" w:rsidRPr="00773C54" w:rsidRDefault="00C2094B" w:rsidP="00C2094B">
      <w:pPr>
        <w:widowControl/>
        <w:tabs>
          <w:tab w:val="left" w:pos="709"/>
        </w:tabs>
        <w:contextualSpacing/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contextualSpacing/>
        <w:jc w:val="both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ab/>
        <w:t>Задачи программы профилактики:</w:t>
      </w:r>
    </w:p>
    <w:p w:rsidR="00C2094B" w:rsidRPr="00773C54" w:rsidRDefault="00C2094B" w:rsidP="00C2094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  <w:t xml:space="preserve">-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укрепление системы профилактики нарушений обязательных требований;</w:t>
      </w:r>
    </w:p>
    <w:p w:rsidR="00C2094B" w:rsidRPr="00773C54" w:rsidRDefault="00C2094B" w:rsidP="00C2094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-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выявление причин, факторов и условий, способствующих нарушениям субъектами профилактики обязательных требований; </w:t>
      </w:r>
    </w:p>
    <w:p w:rsidR="00C2094B" w:rsidRPr="00773C54" w:rsidRDefault="00C2094B" w:rsidP="00C2094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устранение причин, факторов и условий, способствующих нарушениям обязательных требований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</w:p>
    <w:p w:rsidR="00C2094B" w:rsidRPr="00773C54" w:rsidRDefault="00C2094B" w:rsidP="00C2094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повышение уровня правовой грамотности субъектов профилактики. </w:t>
      </w:r>
    </w:p>
    <w:p w:rsidR="00C2094B" w:rsidRPr="00773C54" w:rsidRDefault="00C2094B" w:rsidP="00C2094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jc w:val="center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>3. Перечень профилактических мероприятий</w:t>
      </w:r>
    </w:p>
    <w:p w:rsidR="00C2094B" w:rsidRPr="00773C54" w:rsidRDefault="00C2094B" w:rsidP="00C2094B">
      <w:pPr>
        <w:widowControl/>
        <w:jc w:val="center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1) Информирование.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сельского поселения Саргатского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Размещение указанной информации осуществляется по 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ере необходимости в течение 2025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сельского поселения Саргатского муниципального района Омской области в сети "Интернет":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утвержденные проверочные листы в формате, допускающем их использование для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(при наличии данного вида профилактических мероприятий в положении о  муниципальном контроле);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перечень индикаторов риска нарушения обязательных требований, порядок отнесения объектов контроля к категориям риска (в случае применения </w:t>
      </w: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>риск-ориентированного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подхода)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</w:t>
      </w: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>риск-ориентированного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подхода)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 мероприятий контрольным (надзорным) органом (при проведении таких мероприятий);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исчерпывающий перечень сведений, которые могут запрашиваться контрольным  органом у контролируемого лица;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применении контрольным  органом мер стимулирования добросовестности контролируемых лиц (при наличии данного вида профилактических мероприятий в положении о  муниципальном контроле);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доклады, содержащие результаты обобщения правоприменительной практики контрольного  органа (при наличии данного вида профилактических мероприятий в положении о  муниципальном  контроле);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доклады о муниципальном контроле;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информацию о способах и процедуре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 муниципальном контроле);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иные сведения, предусмотренные нормативными правовыми актами Российской Федерации, нормативными правовыми актами субъектов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Размещение информации проводится по мере необходимости. Срок размещения доклада о муниципальном контроле  – до 15 марта года, следующего за отчетным годом.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2. Консультирование.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 контроля в сфере благоустройства) является Администрация.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осуществляе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тся по обращениям в течение 2025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может осуществляться должностным лицом контрольного 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 мероприятия, решений и (или) действий должностных лиц контрольного органа, иных участников контрольного  мероприятия, а также результаты проведенных в рамках контрольного  мероприятия экспертизы, испытаний.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Информация, ставшая известной должностному лицу контрольного  органа в ходе консультирования, не может использоваться контрольным  органом в целях оценки контролируемого лица по вопросам соблюдения обязательных требований.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Контрольные  органы осуществляют учет консультирований.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 органа.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4. Показатели результативности и эффективности программы профилактики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Показателем результативности программы профилактики является осуществление профилактических мероприятий в полном объеме, в установленные  сроки.</w:t>
      </w:r>
    </w:p>
    <w:p w:rsidR="00C2094B" w:rsidRPr="00773C54" w:rsidRDefault="00C2094B" w:rsidP="00C209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Показателем эффективности программы профилактики является снижение количества нарушений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юридическими лицами, индивидуальными предпринимателями, гражданами обязательных требований правил благоустройства на территории Верблюженского сельского поселения Саргатского муниципального района Омской области.</w:t>
      </w: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094B" w:rsidRDefault="00C2094B" w:rsidP="00C2094B"/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rPr>
          <w:rFonts w:ascii="Times New Roman" w:hAnsi="Times New Roman" w:cs="Times New Roman"/>
          <w:sz w:val="28"/>
          <w:szCs w:val="28"/>
        </w:rPr>
      </w:pPr>
    </w:p>
    <w:p w:rsidR="00C2094B" w:rsidRDefault="00C2094B" w:rsidP="00C209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94B" w:rsidSect="00C2094B">
      <w:pgSz w:w="11906" w:h="16838"/>
      <w:pgMar w:top="1135" w:right="849" w:bottom="709" w:left="1418" w:header="709" w:footer="1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9C"/>
    <w:rsid w:val="00601E9C"/>
    <w:rsid w:val="0067689C"/>
    <w:rsid w:val="00C2094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4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4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rbluj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8D4DB2132EC619F8A66FC2F243795FA4E8E15545BE61C0DB578D2295C9D2D443A0CCA51I7K1L" TargetMode="External"/><Relationship Id="rId5" Type="http://schemas.openxmlformats.org/officeDocument/2006/relationships/hyperlink" Target="http://vrbluj.sargat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2024-12-11T08:47:00Z</dcterms:created>
  <dcterms:modified xsi:type="dcterms:W3CDTF">2024-12-11T08:48:00Z</dcterms:modified>
</cp:coreProperties>
</file>